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E4D" w:rsidRDefault="00BE0E4D">
      <w:pPr>
        <w:rPr>
          <w:rFonts w:ascii="Times-Roman" w:hAnsi="Times-Roman"/>
          <w:sz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648"/>
      </w:tblGrid>
      <w:tr w:rsidR="00BE0E4D">
        <w:tc>
          <w:tcPr>
            <w:tcW w:w="9648" w:type="dxa"/>
          </w:tcPr>
          <w:p w:rsidR="00BE0E4D" w:rsidRDefault="00BE0E4D">
            <w:pPr>
              <w:rPr>
                <w:rFonts w:ascii="Times-Roman" w:hAnsi="Times-Roman"/>
                <w:b/>
                <w:sz w:val="10"/>
              </w:rPr>
            </w:pPr>
          </w:p>
          <w:p w:rsidR="00BE0E4D" w:rsidRDefault="00BE0E4D">
            <w:pPr>
              <w:jc w:val="center"/>
              <w:rPr>
                <w:b/>
                <w:sz w:val="24"/>
              </w:rPr>
            </w:pPr>
            <w:r>
              <w:rPr>
                <w:b/>
                <w:sz w:val="24"/>
              </w:rPr>
              <w:t>Merkblatt</w:t>
            </w:r>
          </w:p>
          <w:p w:rsidR="00BE0E4D" w:rsidRDefault="00BE0E4D">
            <w:pPr>
              <w:jc w:val="center"/>
              <w:rPr>
                <w:rFonts w:ascii="Times-Roman" w:hAnsi="Times-Roman"/>
                <w:b/>
                <w:sz w:val="18"/>
              </w:rPr>
            </w:pPr>
            <w:r>
              <w:rPr>
                <w:rFonts w:ascii="Times-Roman" w:hAnsi="Times-Roman"/>
                <w:b/>
                <w:sz w:val="28"/>
              </w:rPr>
              <w:t>Marktstände</w:t>
            </w:r>
          </w:p>
        </w:tc>
      </w:tr>
      <w:tr w:rsidR="00BE0E4D">
        <w:trPr>
          <w:cantSplit/>
          <w:trHeight w:val="344"/>
        </w:trPr>
        <w:tc>
          <w:tcPr>
            <w:tcW w:w="9648" w:type="dxa"/>
          </w:tcPr>
          <w:p w:rsidR="00BE0E4D" w:rsidRDefault="00BE0E4D">
            <w:pPr>
              <w:tabs>
                <w:tab w:val="clear" w:pos="851"/>
              </w:tabs>
              <w:overflowPunct w:val="0"/>
              <w:autoSpaceDE w:val="0"/>
              <w:autoSpaceDN w:val="0"/>
              <w:adjustRightInd w:val="0"/>
              <w:ind w:left="360"/>
              <w:rPr>
                <w:sz w:val="16"/>
              </w:rPr>
            </w:pPr>
          </w:p>
          <w:p w:rsidR="00BE0E4D" w:rsidRDefault="00BE0E4D">
            <w:pPr>
              <w:numPr>
                <w:ilvl w:val="0"/>
                <w:numId w:val="33"/>
              </w:numPr>
              <w:tabs>
                <w:tab w:val="clear" w:pos="851"/>
              </w:tabs>
              <w:overflowPunct w:val="0"/>
              <w:autoSpaceDE w:val="0"/>
              <w:autoSpaceDN w:val="0"/>
              <w:adjustRightInd w:val="0"/>
              <w:rPr>
                <w:sz w:val="16"/>
              </w:rPr>
            </w:pPr>
            <w:r>
              <w:rPr>
                <w:sz w:val="16"/>
              </w:rPr>
              <w:t>Imbissstände müssen überdacht sein, damit die Lebensmittel nicht nachteilig durch Umwelteinflüsse (Regen, Staub, usw.) beeinträchtigt werden können.</w:t>
            </w:r>
            <w:r>
              <w:rPr>
                <w:sz w:val="16"/>
              </w:rPr>
              <w:br/>
            </w:r>
          </w:p>
          <w:p w:rsidR="00BE0E4D" w:rsidRDefault="00BE0E4D">
            <w:pPr>
              <w:numPr>
                <w:ilvl w:val="0"/>
                <w:numId w:val="33"/>
              </w:numPr>
              <w:overflowPunct w:val="0"/>
              <w:autoSpaceDE w:val="0"/>
              <w:autoSpaceDN w:val="0"/>
              <w:adjustRightInd w:val="0"/>
              <w:rPr>
                <w:sz w:val="16"/>
                <w:szCs w:val="27"/>
              </w:rPr>
            </w:pPr>
            <w:r>
              <w:rPr>
                <w:sz w:val="16"/>
              </w:rPr>
              <w:t>In Imbissständen mit allseitiger Bedienungseinrichtung müssen die Lebensmittel durch geeignete Vorrichtung vor unmitte</w:t>
            </w:r>
            <w:r>
              <w:rPr>
                <w:sz w:val="16"/>
              </w:rPr>
              <w:t>l</w:t>
            </w:r>
            <w:r>
              <w:rPr>
                <w:sz w:val="16"/>
              </w:rPr>
              <w:t xml:space="preserve">baren nachteiligen Beeinflussungen durch die Kundschaft bzw. Umwelteinflüssen geschützt werden. </w:t>
            </w:r>
            <w:r>
              <w:rPr>
                <w:b/>
                <w:bCs/>
                <w:sz w:val="16"/>
              </w:rPr>
              <w:t>(Kundenabschi</w:t>
            </w:r>
            <w:r>
              <w:rPr>
                <w:b/>
                <w:bCs/>
                <w:sz w:val="16"/>
              </w:rPr>
              <w:t>r</w:t>
            </w:r>
            <w:r>
              <w:rPr>
                <w:b/>
                <w:bCs/>
                <w:sz w:val="16"/>
              </w:rPr>
              <w:t>mung).</w:t>
            </w:r>
            <w:r>
              <w:rPr>
                <w:b/>
                <w:bCs/>
                <w:sz w:val="16"/>
              </w:rPr>
              <w:br/>
            </w:r>
          </w:p>
          <w:p w:rsidR="00BE0E4D" w:rsidRDefault="00BE0E4D">
            <w:pPr>
              <w:numPr>
                <w:ilvl w:val="0"/>
                <w:numId w:val="33"/>
              </w:numPr>
              <w:overflowPunct w:val="0"/>
              <w:autoSpaceDE w:val="0"/>
              <w:autoSpaceDN w:val="0"/>
              <w:adjustRightInd w:val="0"/>
              <w:rPr>
                <w:sz w:val="16"/>
                <w:szCs w:val="27"/>
              </w:rPr>
            </w:pPr>
            <w:r>
              <w:rPr>
                <w:sz w:val="16"/>
              </w:rPr>
              <w:t>Grill- oder sonstige offene Erhitzungsanlagen müssen durch geeignete Vorrichtungen von der Kundschaft abgeschirmt we</w:t>
            </w:r>
            <w:r>
              <w:rPr>
                <w:sz w:val="16"/>
              </w:rPr>
              <w:t>r</w:t>
            </w:r>
            <w:r>
              <w:rPr>
                <w:sz w:val="16"/>
              </w:rPr>
              <w:t xml:space="preserve">den. </w:t>
            </w:r>
            <w:r>
              <w:rPr>
                <w:b/>
                <w:bCs/>
                <w:sz w:val="16"/>
              </w:rPr>
              <w:t>(sog. Spuckschutz)</w:t>
            </w:r>
            <w:r>
              <w:rPr>
                <w:b/>
                <w:bCs/>
                <w:sz w:val="16"/>
              </w:rPr>
              <w:br/>
            </w:r>
          </w:p>
          <w:p w:rsidR="00BE0E4D" w:rsidRDefault="00BE0E4D">
            <w:pPr>
              <w:numPr>
                <w:ilvl w:val="0"/>
                <w:numId w:val="33"/>
              </w:numPr>
              <w:tabs>
                <w:tab w:val="left" w:pos="1620"/>
                <w:tab w:val="left" w:pos="8064"/>
                <w:tab w:val="left" w:pos="9356"/>
              </w:tabs>
              <w:overflowPunct w:val="0"/>
              <w:autoSpaceDE w:val="0"/>
              <w:autoSpaceDN w:val="0"/>
              <w:adjustRightInd w:val="0"/>
              <w:spacing w:line="240" w:lineRule="exact"/>
              <w:ind w:right="-1"/>
              <w:rPr>
                <w:i/>
                <w:iCs/>
                <w:sz w:val="16"/>
              </w:rPr>
            </w:pPr>
            <w:r>
              <w:rPr>
                <w:sz w:val="16"/>
              </w:rPr>
              <w:t xml:space="preserve">Der Imbiss-Stand muss über eine </w:t>
            </w:r>
            <w:r>
              <w:rPr>
                <w:b/>
                <w:bCs/>
                <w:sz w:val="16"/>
              </w:rPr>
              <w:t xml:space="preserve">Handwascheinrichtung mit </w:t>
            </w:r>
            <w:r>
              <w:rPr>
                <w:b/>
                <w:bCs/>
                <w:sz w:val="16"/>
                <w:u w:val="single"/>
              </w:rPr>
              <w:t xml:space="preserve">fließendem </w:t>
            </w:r>
            <w:proofErr w:type="gramStart"/>
            <w:r>
              <w:rPr>
                <w:b/>
                <w:bCs/>
                <w:sz w:val="16"/>
                <w:u w:val="single"/>
              </w:rPr>
              <w:t>warmen</w:t>
            </w:r>
            <w:proofErr w:type="gramEnd"/>
            <w:r>
              <w:rPr>
                <w:sz w:val="16"/>
                <w:u w:val="single"/>
              </w:rPr>
              <w:t xml:space="preserve"> </w:t>
            </w:r>
            <w:r>
              <w:rPr>
                <w:b/>
                <w:bCs/>
                <w:sz w:val="16"/>
                <w:u w:val="single"/>
              </w:rPr>
              <w:t>Wasser</w:t>
            </w:r>
            <w:r>
              <w:rPr>
                <w:b/>
                <w:bCs/>
                <w:sz w:val="16"/>
              </w:rPr>
              <w:t xml:space="preserve"> </w:t>
            </w:r>
            <w:r>
              <w:rPr>
                <w:sz w:val="16"/>
              </w:rPr>
              <w:t xml:space="preserve">in Trinkwasserqualität, </w:t>
            </w:r>
            <w:r>
              <w:rPr>
                <w:sz w:val="16"/>
                <w:u w:val="single"/>
              </w:rPr>
              <w:t>Ei</w:t>
            </w:r>
            <w:r>
              <w:rPr>
                <w:sz w:val="16"/>
                <w:u w:val="single"/>
              </w:rPr>
              <w:t>n</w:t>
            </w:r>
            <w:r>
              <w:rPr>
                <w:sz w:val="16"/>
                <w:u w:val="single"/>
              </w:rPr>
              <w:t>malhandtüchern</w:t>
            </w:r>
            <w:r>
              <w:rPr>
                <w:sz w:val="16"/>
              </w:rPr>
              <w:t xml:space="preserve"> und </w:t>
            </w:r>
            <w:r>
              <w:rPr>
                <w:sz w:val="16"/>
                <w:u w:val="single"/>
              </w:rPr>
              <w:t>Flüssigseife</w:t>
            </w:r>
            <w:r>
              <w:rPr>
                <w:sz w:val="16"/>
              </w:rPr>
              <w:t xml:space="preserve"> verfügen. </w:t>
            </w:r>
            <w:r>
              <w:rPr>
                <w:sz w:val="16"/>
              </w:rPr>
              <w:br/>
            </w:r>
            <w:r>
              <w:rPr>
                <w:i/>
                <w:iCs/>
                <w:sz w:val="16"/>
              </w:rPr>
              <w:t>Ein Gerät mit Stromanschluss, Thermostatregler, Auslaufhahn (z. B. Glühweinbehälter) und Auffangbehälter, bietet sich hier an. Die Handwascheinrichtung ist so anzubringen, dass der Waschvorgang die zum Verkauf vorrätig gehaltenen Lebensmi</w:t>
            </w:r>
            <w:r>
              <w:rPr>
                <w:i/>
                <w:iCs/>
                <w:sz w:val="16"/>
              </w:rPr>
              <w:t>t</w:t>
            </w:r>
            <w:r>
              <w:rPr>
                <w:i/>
                <w:iCs/>
                <w:sz w:val="16"/>
              </w:rPr>
              <w:t>tel nicht nachteilig beeinflusst.</w:t>
            </w:r>
            <w:r>
              <w:rPr>
                <w:i/>
                <w:iCs/>
                <w:sz w:val="16"/>
              </w:rPr>
              <w:br/>
            </w:r>
          </w:p>
          <w:p w:rsidR="00BE0E4D" w:rsidRDefault="00BE0E4D">
            <w:pPr>
              <w:numPr>
                <w:ilvl w:val="0"/>
                <w:numId w:val="33"/>
              </w:numPr>
              <w:tabs>
                <w:tab w:val="left" w:pos="1620"/>
                <w:tab w:val="left" w:pos="8064"/>
                <w:tab w:val="left" w:pos="9356"/>
              </w:tabs>
              <w:overflowPunct w:val="0"/>
              <w:autoSpaceDE w:val="0"/>
              <w:autoSpaceDN w:val="0"/>
              <w:adjustRightInd w:val="0"/>
              <w:spacing w:line="240" w:lineRule="exact"/>
              <w:ind w:right="-1"/>
              <w:rPr>
                <w:sz w:val="16"/>
              </w:rPr>
            </w:pPr>
            <w:r>
              <w:rPr>
                <w:sz w:val="16"/>
              </w:rPr>
              <w:t xml:space="preserve">Zur Aufbewahrung der </w:t>
            </w:r>
            <w:r>
              <w:rPr>
                <w:b/>
                <w:bCs/>
                <w:sz w:val="16"/>
              </w:rPr>
              <w:t>kühlpflichtigen Lebensmittelvorräte</w:t>
            </w:r>
            <w:r>
              <w:rPr>
                <w:sz w:val="16"/>
              </w:rPr>
              <w:t xml:space="preserve"> (z. B. Bratwürste, Bockwürste und andere kühlhaltungspflic</w:t>
            </w:r>
            <w:r>
              <w:rPr>
                <w:sz w:val="16"/>
              </w:rPr>
              <w:t>h</w:t>
            </w:r>
            <w:r>
              <w:rPr>
                <w:sz w:val="16"/>
              </w:rPr>
              <w:t xml:space="preserve">tige Erzeugnisse) können isolierte Behälter mit Deckeln und einer ausreichenden Anzahl an </w:t>
            </w:r>
            <w:proofErr w:type="spellStart"/>
            <w:r>
              <w:rPr>
                <w:sz w:val="16"/>
              </w:rPr>
              <w:t>Kühlakkus</w:t>
            </w:r>
            <w:proofErr w:type="spellEnd"/>
            <w:r>
              <w:rPr>
                <w:sz w:val="16"/>
              </w:rPr>
              <w:t xml:space="preserve"> oder Kühlmöbel mit Stromanschluss verwendet werden. Thermometer müssen vorhanden sein.</w:t>
            </w:r>
            <w:r>
              <w:rPr>
                <w:sz w:val="16"/>
              </w:rPr>
              <w:br/>
            </w:r>
            <w:r>
              <w:rPr>
                <w:i/>
                <w:iCs/>
                <w:sz w:val="16"/>
              </w:rPr>
              <w:t>Grundsätzlich ist die Lagerung von Behältern mit Lebensmit</w:t>
            </w:r>
            <w:r w:rsidR="0072707F">
              <w:rPr>
                <w:i/>
                <w:iCs/>
                <w:sz w:val="16"/>
              </w:rPr>
              <w:t xml:space="preserve">teln direkt auf dem Fußboden </w:t>
            </w:r>
            <w:r>
              <w:rPr>
                <w:i/>
                <w:iCs/>
                <w:sz w:val="16"/>
              </w:rPr>
              <w:t xml:space="preserve"> </w:t>
            </w:r>
            <w:r>
              <w:rPr>
                <w:i/>
                <w:iCs/>
                <w:sz w:val="16"/>
                <w:u w:val="single"/>
              </w:rPr>
              <w:t>nicht</w:t>
            </w:r>
            <w:r>
              <w:rPr>
                <w:i/>
                <w:iCs/>
                <w:sz w:val="16"/>
              </w:rPr>
              <w:t xml:space="preserve"> gestattet.</w:t>
            </w:r>
            <w:r>
              <w:rPr>
                <w:i/>
                <w:iCs/>
                <w:sz w:val="16"/>
              </w:rPr>
              <w:br/>
            </w:r>
          </w:p>
          <w:p w:rsidR="00BE0E4D" w:rsidRDefault="00BE0E4D">
            <w:pPr>
              <w:pStyle w:val="Textkrper"/>
              <w:numPr>
                <w:ilvl w:val="0"/>
                <w:numId w:val="33"/>
              </w:numPr>
              <w:rPr>
                <w:sz w:val="16"/>
              </w:rPr>
            </w:pPr>
            <w:r>
              <w:rPr>
                <w:sz w:val="16"/>
              </w:rPr>
              <w:t xml:space="preserve">Die </w:t>
            </w:r>
            <w:r>
              <w:rPr>
                <w:b/>
                <w:bCs/>
                <w:sz w:val="16"/>
              </w:rPr>
              <w:t>ununterbrochene Kühlhaltung</w:t>
            </w:r>
            <w:r>
              <w:rPr>
                <w:sz w:val="16"/>
              </w:rPr>
              <w:t xml:space="preserve"> aller kühlpflichtigen Lebensmittel ist zu gewährleisten. Die Kühlvorrichtungen sind mit Thermometern zu versehen. Die Lebensmittel sind bei einer Temperatur unter + 7 °C kühl zu lagern.</w:t>
            </w:r>
            <w:r>
              <w:rPr>
                <w:sz w:val="16"/>
              </w:rPr>
              <w:br/>
            </w:r>
          </w:p>
          <w:p w:rsidR="00BE0E4D" w:rsidRDefault="00BE0E4D">
            <w:pPr>
              <w:numPr>
                <w:ilvl w:val="0"/>
                <w:numId w:val="33"/>
              </w:numPr>
              <w:tabs>
                <w:tab w:val="left" w:pos="3888"/>
                <w:tab w:val="left" w:pos="8064"/>
                <w:tab w:val="left" w:pos="9356"/>
              </w:tabs>
              <w:overflowPunct w:val="0"/>
              <w:autoSpaceDE w:val="0"/>
              <w:autoSpaceDN w:val="0"/>
              <w:adjustRightInd w:val="0"/>
              <w:spacing w:line="240" w:lineRule="exact"/>
              <w:ind w:right="-1"/>
              <w:rPr>
                <w:sz w:val="16"/>
              </w:rPr>
            </w:pPr>
            <w:r>
              <w:rPr>
                <w:sz w:val="16"/>
              </w:rPr>
              <w:t xml:space="preserve">Werden </w:t>
            </w:r>
            <w:r>
              <w:rPr>
                <w:b/>
                <w:bCs/>
                <w:sz w:val="16"/>
              </w:rPr>
              <w:t>gegarte Speisen</w:t>
            </w:r>
            <w:r>
              <w:rPr>
                <w:sz w:val="16"/>
              </w:rPr>
              <w:t xml:space="preserve"> angeboten, so darf die Aufbewahrungsdauer 4 Stunden nicht überschreiten. Hierbei ist eine Temperatur von mindestens + 65 </w:t>
            </w:r>
            <w:r>
              <w:rPr>
                <w:sz w:val="16"/>
              </w:rPr>
              <w:sym w:font="Symbol" w:char="00B0"/>
            </w:r>
            <w:r>
              <w:rPr>
                <w:sz w:val="16"/>
              </w:rPr>
              <w:t xml:space="preserve"> C einzuhalten.</w:t>
            </w:r>
            <w:r>
              <w:rPr>
                <w:sz w:val="16"/>
              </w:rPr>
              <w:br/>
            </w:r>
          </w:p>
          <w:p w:rsidR="00BE0E4D" w:rsidRDefault="00BE0E4D">
            <w:pPr>
              <w:numPr>
                <w:ilvl w:val="0"/>
                <w:numId w:val="33"/>
              </w:numPr>
              <w:tabs>
                <w:tab w:val="left" w:pos="3888"/>
                <w:tab w:val="left" w:pos="8064"/>
                <w:tab w:val="left" w:pos="9356"/>
              </w:tabs>
              <w:overflowPunct w:val="0"/>
              <w:autoSpaceDE w:val="0"/>
              <w:autoSpaceDN w:val="0"/>
              <w:adjustRightInd w:val="0"/>
              <w:spacing w:line="240" w:lineRule="exact"/>
              <w:ind w:right="-1"/>
              <w:rPr>
                <w:sz w:val="16"/>
              </w:rPr>
            </w:pPr>
            <w:r>
              <w:rPr>
                <w:sz w:val="16"/>
              </w:rPr>
              <w:t xml:space="preserve">Stände oder Verkaufswagen, in denen </w:t>
            </w:r>
            <w:r>
              <w:rPr>
                <w:b/>
                <w:bCs/>
                <w:sz w:val="16"/>
              </w:rPr>
              <w:t>Speiseeis lose</w:t>
            </w:r>
            <w:r>
              <w:rPr>
                <w:sz w:val="16"/>
              </w:rPr>
              <w:t xml:space="preserve"> in den Verkehr gebracht wird, müssen so beschaffen und ausgesta</w:t>
            </w:r>
            <w:r>
              <w:rPr>
                <w:sz w:val="16"/>
              </w:rPr>
              <w:t>t</w:t>
            </w:r>
            <w:r>
              <w:rPr>
                <w:sz w:val="16"/>
              </w:rPr>
              <w:t>tet sein, dass das Speiseeis keiner vermeidbaren nachteiligen Beeinflussung ausgesetzt wird.</w:t>
            </w:r>
            <w:r>
              <w:rPr>
                <w:sz w:val="16"/>
              </w:rPr>
              <w:br/>
            </w:r>
          </w:p>
          <w:p w:rsidR="00BE0E4D" w:rsidRDefault="00BE0E4D">
            <w:pPr>
              <w:numPr>
                <w:ilvl w:val="0"/>
                <w:numId w:val="33"/>
              </w:numPr>
              <w:tabs>
                <w:tab w:val="left" w:pos="3888"/>
                <w:tab w:val="left" w:pos="8064"/>
                <w:tab w:val="left" w:pos="9356"/>
              </w:tabs>
              <w:overflowPunct w:val="0"/>
              <w:autoSpaceDE w:val="0"/>
              <w:autoSpaceDN w:val="0"/>
              <w:adjustRightInd w:val="0"/>
              <w:spacing w:line="240" w:lineRule="exact"/>
              <w:ind w:right="-1"/>
              <w:rPr>
                <w:sz w:val="16"/>
              </w:rPr>
            </w:pPr>
            <w:r>
              <w:rPr>
                <w:sz w:val="16"/>
              </w:rPr>
              <w:t>Speiseeisportionierer (Eislöffel) müssen hygienisch einwandfrei aufbewahrt werden. In den Gebrauchspausen sind sie in Gefäßen mit fließendem Wasser (in Trinkwasserqualität) aufzubewahren. Steht fließendes Wasser nicht zur Verfügung, so sind sie in den Gebrauchspausen in säurefesten Gefäßen mit 1,5 %</w:t>
            </w:r>
            <w:proofErr w:type="spellStart"/>
            <w:r>
              <w:rPr>
                <w:sz w:val="16"/>
              </w:rPr>
              <w:t>iger</w:t>
            </w:r>
            <w:proofErr w:type="spellEnd"/>
            <w:r>
              <w:rPr>
                <w:sz w:val="16"/>
              </w:rPr>
              <w:t xml:space="preserve"> einwandfreier Zitronen- oder Weinlösung abzul</w:t>
            </w:r>
            <w:r>
              <w:rPr>
                <w:sz w:val="16"/>
              </w:rPr>
              <w:t>e</w:t>
            </w:r>
            <w:r>
              <w:rPr>
                <w:sz w:val="16"/>
              </w:rPr>
              <w:t>gen. Ein regelmäßiger Austausch ist zu gewährleisten.</w:t>
            </w:r>
            <w:r>
              <w:rPr>
                <w:sz w:val="16"/>
              </w:rPr>
              <w:br/>
            </w:r>
          </w:p>
          <w:p w:rsidR="00BE0E4D" w:rsidRDefault="00BE0E4D">
            <w:pPr>
              <w:numPr>
                <w:ilvl w:val="0"/>
                <w:numId w:val="33"/>
              </w:numPr>
              <w:tabs>
                <w:tab w:val="left" w:pos="3888"/>
                <w:tab w:val="left" w:pos="8064"/>
                <w:tab w:val="left" w:pos="9356"/>
              </w:tabs>
              <w:overflowPunct w:val="0"/>
              <w:autoSpaceDE w:val="0"/>
              <w:autoSpaceDN w:val="0"/>
              <w:adjustRightInd w:val="0"/>
              <w:spacing w:line="240" w:lineRule="exact"/>
              <w:ind w:right="-1"/>
              <w:rPr>
                <w:sz w:val="16"/>
              </w:rPr>
            </w:pPr>
            <w:r>
              <w:rPr>
                <w:sz w:val="16"/>
              </w:rPr>
              <w:t>Personen, die mit der Herstellung und dem Behandeln von Lebensmitteln betraut sind, müssen im Besitz eines Gesun</w:t>
            </w:r>
            <w:r>
              <w:rPr>
                <w:sz w:val="16"/>
              </w:rPr>
              <w:t>d</w:t>
            </w:r>
            <w:r>
              <w:rPr>
                <w:sz w:val="16"/>
              </w:rPr>
              <w:t>heitszeugnisses oder einer Belehrung nach dem Infektionsschutzgesetz sein.</w:t>
            </w:r>
            <w:r>
              <w:rPr>
                <w:sz w:val="16"/>
              </w:rPr>
              <w:br/>
              <w:t>Dieses muss auf Verlangen bei der Kontrolle vorgelegt werden können.</w:t>
            </w:r>
            <w:r>
              <w:rPr>
                <w:sz w:val="16"/>
              </w:rPr>
              <w:br/>
            </w:r>
          </w:p>
          <w:p w:rsidR="00BE0E4D" w:rsidRDefault="00BE0E4D">
            <w:pPr>
              <w:pStyle w:val="Textkrper"/>
              <w:numPr>
                <w:ilvl w:val="0"/>
                <w:numId w:val="33"/>
              </w:numPr>
              <w:rPr>
                <w:sz w:val="16"/>
              </w:rPr>
            </w:pPr>
            <w:r>
              <w:rPr>
                <w:sz w:val="16"/>
              </w:rPr>
              <w:t>Personen, die Lebensmittel herstellen, behandeln oder in den Verkehr bringen, haben ein hohes Maß an persönlicher Sa</w:t>
            </w:r>
            <w:r>
              <w:rPr>
                <w:sz w:val="16"/>
              </w:rPr>
              <w:t>u</w:t>
            </w:r>
            <w:r>
              <w:rPr>
                <w:sz w:val="16"/>
              </w:rPr>
              <w:t xml:space="preserve">berkeit zu halten und müssen angemessene, </w:t>
            </w:r>
            <w:r>
              <w:rPr>
                <w:b/>
                <w:bCs/>
                <w:sz w:val="16"/>
              </w:rPr>
              <w:t>saubere Schutzkleidung</w:t>
            </w:r>
            <w:r>
              <w:rPr>
                <w:sz w:val="16"/>
              </w:rPr>
              <w:t xml:space="preserve"> tragen.</w:t>
            </w:r>
            <w:r>
              <w:rPr>
                <w:sz w:val="16"/>
              </w:rPr>
              <w:br/>
            </w:r>
          </w:p>
          <w:p w:rsidR="00BE0E4D" w:rsidRDefault="00BE0E4D">
            <w:pPr>
              <w:pStyle w:val="Textkrper"/>
              <w:numPr>
                <w:ilvl w:val="0"/>
                <w:numId w:val="33"/>
              </w:numPr>
              <w:rPr>
                <w:sz w:val="16"/>
              </w:rPr>
            </w:pPr>
            <w:r>
              <w:rPr>
                <w:sz w:val="16"/>
              </w:rPr>
              <w:t xml:space="preserve">Getränkestände die über eine Getränkeschankanlage verfügen, müssen den aktuellen Reinigungsnachweis der Anlage </w:t>
            </w:r>
            <w:r>
              <w:rPr>
                <w:b/>
                <w:bCs/>
                <w:sz w:val="16"/>
              </w:rPr>
              <w:t>schriftlich dokumentiert</w:t>
            </w:r>
            <w:r>
              <w:rPr>
                <w:sz w:val="16"/>
              </w:rPr>
              <w:t xml:space="preserve"> vorlegen können.</w:t>
            </w:r>
          </w:p>
          <w:p w:rsidR="00BE0E4D" w:rsidRDefault="00BE0E4D">
            <w:pPr>
              <w:pStyle w:val="Textkrper"/>
              <w:rPr>
                <w:sz w:val="16"/>
                <w:szCs w:val="24"/>
              </w:rPr>
            </w:pPr>
          </w:p>
          <w:p w:rsidR="00BE0E4D" w:rsidRDefault="00BE0E4D">
            <w:pPr>
              <w:pStyle w:val="Textkrper2"/>
              <w:spacing w:line="240" w:lineRule="exact"/>
              <w:rPr>
                <w:rFonts w:ascii="Arial" w:hAnsi="Arial"/>
                <w:sz w:val="16"/>
              </w:rPr>
            </w:pPr>
            <w:r>
              <w:rPr>
                <w:rFonts w:ascii="Arial" w:hAnsi="Arial"/>
                <w:bCs/>
                <w:sz w:val="16"/>
              </w:rPr>
              <w:t>Grundsätzlich dürfen Lebensmitteln nur so hergestellt, behandelt oder in den Verkehr gebracht werden, dass sie bei der Beachtung der im Verkehr erforderlichen Sorgfalt keiner nachteiligen Beeinflussung ausgesetzt werden.</w:t>
            </w:r>
          </w:p>
          <w:p w:rsidR="00BE0E4D" w:rsidRDefault="00BE0E4D">
            <w:pPr>
              <w:pStyle w:val="Textkrper2"/>
              <w:spacing w:line="240" w:lineRule="exact"/>
              <w:rPr>
                <w:rFonts w:ascii="Arial" w:hAnsi="Arial"/>
                <w:bCs/>
                <w:sz w:val="16"/>
              </w:rPr>
            </w:pPr>
          </w:p>
          <w:p w:rsidR="00BE0E4D" w:rsidRDefault="00BE0E4D">
            <w:pPr>
              <w:pStyle w:val="Textkrper2"/>
              <w:spacing w:line="240" w:lineRule="exact"/>
              <w:rPr>
                <w:rFonts w:ascii="Times-Roman" w:hAnsi="Times-Roman"/>
                <w:sz w:val="18"/>
              </w:rPr>
            </w:pPr>
            <w:r>
              <w:rPr>
                <w:sz w:val="16"/>
              </w:rPr>
              <w:t>Die Lebensmittelüberwachungsbehörde behält sich vor, die Marktstände vor Beginn oder während der Veranstaltung auf die leben</w:t>
            </w:r>
            <w:r>
              <w:rPr>
                <w:sz w:val="16"/>
              </w:rPr>
              <w:t>s</w:t>
            </w:r>
            <w:r>
              <w:rPr>
                <w:sz w:val="16"/>
              </w:rPr>
              <w:t>mittelrechtlichen Vorgaben zu überprüfen und eventuell Nachbesserungen zu fordern.</w:t>
            </w:r>
          </w:p>
        </w:tc>
      </w:tr>
    </w:tbl>
    <w:p w:rsidR="00BE0E4D" w:rsidRDefault="00BE0E4D">
      <w:pPr>
        <w:rPr>
          <w:rFonts w:ascii="Times-Roman" w:hAnsi="Times-Roman"/>
          <w:sz w:val="10"/>
        </w:rPr>
      </w:pPr>
    </w:p>
    <w:p w:rsidR="00BE0E4D" w:rsidRDefault="00BE0E4D">
      <w:pPr>
        <w:rPr>
          <w:rFonts w:ascii="Times-Roman" w:hAnsi="Times-Roman"/>
          <w:sz w:val="18"/>
        </w:rPr>
      </w:pPr>
    </w:p>
    <w:p w:rsidR="00BE0E4D" w:rsidRDefault="00BE0E4D">
      <w:pPr>
        <w:rPr>
          <w:rFonts w:ascii="Times-Roman" w:hAnsi="Times-Roman"/>
          <w:sz w:val="18"/>
        </w:rPr>
      </w:pPr>
    </w:p>
    <w:p w:rsidR="00BE0E4D" w:rsidRDefault="00BE0E4D">
      <w:r>
        <w:rPr>
          <w:rFonts w:ascii="Times-Roman" w:hAnsi="Times-Roman"/>
          <w:sz w:val="18"/>
        </w:rPr>
        <w:t xml:space="preserve">Die Ausführungen dieses Merkblattes erheben keinen Anspruch auf Vollständigkeit. Einschlägige Rechtsgrundlagen bleiben unberührt. Für Informationen, die über den Inhalt des Merkblattes hinausgehen, wenden Sie sich bitte unter der angegebenen Anschrift an Ihre </w:t>
      </w:r>
      <w:proofErr w:type="spellStart"/>
      <w:r>
        <w:rPr>
          <w:rFonts w:ascii="Times-Roman" w:hAnsi="Times-Roman"/>
          <w:sz w:val="18"/>
        </w:rPr>
        <w:t>Lebensmittel</w:t>
      </w:r>
      <w:r>
        <w:rPr>
          <w:rFonts w:ascii="Times-Roman" w:hAnsi="Times-Roman"/>
          <w:sz w:val="18"/>
        </w:rPr>
        <w:softHyphen/>
        <w:t>überwachungsbehörde</w:t>
      </w:r>
      <w:proofErr w:type="spellEnd"/>
      <w:r>
        <w:rPr>
          <w:rFonts w:ascii="Times-Roman" w:hAnsi="Times-Roman"/>
          <w:sz w:val="18"/>
        </w:rPr>
        <w:t>.</w:t>
      </w:r>
    </w:p>
    <w:sectPr w:rsidR="00BE0E4D">
      <w:headerReference w:type="even" r:id="rId8"/>
      <w:headerReference w:type="default" r:id="rId9"/>
      <w:footerReference w:type="even" r:id="rId10"/>
      <w:footerReference w:type="default" r:id="rId11"/>
      <w:headerReference w:type="first" r:id="rId12"/>
      <w:footerReference w:type="first" r:id="rId13"/>
      <w:pgSz w:w="11906" w:h="16838" w:code="9"/>
      <w:pgMar w:top="1701" w:right="851" w:bottom="1701" w:left="1418" w:header="567" w:footer="3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E4D" w:rsidRDefault="00BE0E4D">
      <w:r>
        <w:separator/>
      </w:r>
    </w:p>
  </w:endnote>
  <w:endnote w:type="continuationSeparator" w:id="0">
    <w:p w:rsidR="00BE0E4D" w:rsidRDefault="00BE0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utiger 45 Light">
    <w:altName w:val="Times New Roman"/>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E4D" w:rsidRDefault="00BE0E4D">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E4D" w:rsidRDefault="008779CB">
    <w:pPr>
      <w:pStyle w:val="Fuzeile"/>
      <w:rPr>
        <w:lang w:val="fr-FR"/>
      </w:rPr>
    </w:pPr>
    <w:r>
      <w:rPr>
        <w:lang w:val="fr-FR"/>
      </w:rPr>
      <w:t>MFB-08-405</w:t>
    </w:r>
    <w:bookmarkStart w:id="0" w:name="_GoBack"/>
    <w:bookmarkEnd w:id="0"/>
    <w:r w:rsidR="00BE0E4D">
      <w:rPr>
        <w:lang w:val="fr-FR"/>
      </w:rPr>
      <w:t>-NOM Version 1.0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E4D" w:rsidRDefault="00BE0E4D">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E4D" w:rsidRDefault="00BE0E4D">
      <w:r>
        <w:separator/>
      </w:r>
    </w:p>
  </w:footnote>
  <w:footnote w:type="continuationSeparator" w:id="0">
    <w:p w:rsidR="00BE0E4D" w:rsidRDefault="00BE0E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E4D" w:rsidRDefault="00BE0E4D">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0" w:type="auto"/>
      <w:tblLook w:val="04A0" w:firstRow="1" w:lastRow="0" w:firstColumn="1" w:lastColumn="0" w:noHBand="0" w:noVBand="1"/>
    </w:tblPr>
    <w:tblGrid>
      <w:gridCol w:w="7338"/>
      <w:gridCol w:w="2439"/>
    </w:tblGrid>
    <w:tr w:rsidR="009970E3" w:rsidTr="001E17C1">
      <w:tc>
        <w:tcPr>
          <w:tcW w:w="7338" w:type="dxa"/>
          <w:tcBorders>
            <w:top w:val="nil"/>
            <w:left w:val="nil"/>
            <w:bottom w:val="nil"/>
            <w:right w:val="nil"/>
          </w:tcBorders>
        </w:tcPr>
        <w:p w:rsidR="009970E3" w:rsidRDefault="009970E3" w:rsidP="001E17C1">
          <w:pPr>
            <w:pStyle w:val="Kopfzeile"/>
            <w:rPr>
              <w:b/>
              <w:bCs/>
              <w:sz w:val="24"/>
            </w:rPr>
          </w:pPr>
          <w:r>
            <w:rPr>
              <w:b/>
              <w:bCs/>
              <w:sz w:val="24"/>
            </w:rPr>
            <w:t>Fachbereich 25</w:t>
          </w:r>
        </w:p>
        <w:p w:rsidR="009970E3" w:rsidRDefault="009970E3" w:rsidP="001E17C1">
          <w:pPr>
            <w:pStyle w:val="Kopfzeile"/>
            <w:rPr>
              <w:b/>
              <w:bCs/>
            </w:rPr>
          </w:pPr>
          <w:r>
            <w:rPr>
              <w:b/>
              <w:bCs/>
            </w:rPr>
            <w:t xml:space="preserve">Lebensmittelüberwachung und Veterinärwesen </w:t>
          </w:r>
          <w:r>
            <w:rPr>
              <w:b/>
              <w:bCs/>
            </w:rPr>
            <w:tab/>
          </w:r>
        </w:p>
        <w:p w:rsidR="009970E3" w:rsidRDefault="009970E3" w:rsidP="001E17C1">
          <w:pPr>
            <w:pStyle w:val="Kopfzeile"/>
          </w:pPr>
          <w:proofErr w:type="spellStart"/>
          <w:r>
            <w:t>Medenheimer</w:t>
          </w:r>
          <w:proofErr w:type="spellEnd"/>
          <w:r>
            <w:t xml:space="preserve"> Straße 6/8</w:t>
          </w:r>
        </w:p>
        <w:p w:rsidR="009970E3" w:rsidRDefault="009970E3" w:rsidP="001E17C1">
          <w:pPr>
            <w:pStyle w:val="Kopfzeile"/>
          </w:pPr>
          <w:r>
            <w:t>37154 Northeim</w:t>
          </w:r>
        </w:p>
      </w:tc>
      <w:tc>
        <w:tcPr>
          <w:tcW w:w="2439" w:type="dxa"/>
          <w:tcBorders>
            <w:top w:val="nil"/>
            <w:left w:val="nil"/>
            <w:bottom w:val="nil"/>
            <w:right w:val="nil"/>
          </w:tcBorders>
        </w:tcPr>
        <w:p w:rsidR="009970E3" w:rsidRDefault="009970E3" w:rsidP="001E17C1">
          <w:pPr>
            <w:pStyle w:val="Kopfzeile"/>
          </w:pPr>
          <w:r>
            <w:rPr>
              <w:noProof/>
              <w:sz w:val="20"/>
              <w:szCs w:val="20"/>
            </w:rPr>
            <w:drawing>
              <wp:inline distT="0" distB="0" distL="0" distR="0" wp14:anchorId="449AF910" wp14:editId="0851A346">
                <wp:extent cx="798830" cy="572770"/>
                <wp:effectExtent l="0" t="0" r="127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830" cy="572770"/>
                        </a:xfrm>
                        <a:prstGeom prst="rect">
                          <a:avLst/>
                        </a:prstGeom>
                        <a:noFill/>
                      </pic:spPr>
                    </pic:pic>
                  </a:graphicData>
                </a:graphic>
              </wp:inline>
            </w:drawing>
          </w:r>
        </w:p>
      </w:tc>
    </w:tr>
  </w:tbl>
  <w:p w:rsidR="00BE0E4D" w:rsidRPr="009970E3" w:rsidRDefault="00BE0E4D" w:rsidP="009970E3">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E4D" w:rsidRDefault="00BE0E4D">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D7188"/>
    <w:multiLevelType w:val="hybridMultilevel"/>
    <w:tmpl w:val="503C942A"/>
    <w:lvl w:ilvl="0" w:tplc="A77EF7DA">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nsid w:val="1A933AC1"/>
    <w:multiLevelType w:val="hybridMultilevel"/>
    <w:tmpl w:val="6B308F6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nsid w:val="28EB69FB"/>
    <w:multiLevelType w:val="multilevel"/>
    <w:tmpl w:val="CB9CA75A"/>
    <w:lvl w:ilvl="0">
      <w:start w:val="1"/>
      <w:numFmt w:val="decimal"/>
      <w:lvlText w:val="%1"/>
      <w:lvlJc w:val="left"/>
      <w:pPr>
        <w:tabs>
          <w:tab w:val="num" w:pos="851"/>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3">
    <w:nsid w:val="2BAE71BF"/>
    <w:multiLevelType w:val="singleLevel"/>
    <w:tmpl w:val="7082A1F6"/>
    <w:lvl w:ilvl="0">
      <w:start w:val="1"/>
      <w:numFmt w:val="bullet"/>
      <w:lvlText w:val=""/>
      <w:lvlJc w:val="left"/>
      <w:pPr>
        <w:tabs>
          <w:tab w:val="num" w:pos="360"/>
        </w:tabs>
        <w:ind w:left="360" w:hanging="360"/>
      </w:pPr>
      <w:rPr>
        <w:rFonts w:ascii="Wingdings" w:hAnsi="Wingdings" w:hint="default"/>
      </w:rPr>
    </w:lvl>
  </w:abstractNum>
  <w:abstractNum w:abstractNumId="4">
    <w:nsid w:val="2F2E3B98"/>
    <w:multiLevelType w:val="multilevel"/>
    <w:tmpl w:val="049C3716"/>
    <w:lvl w:ilvl="0">
      <w:start w:val="4"/>
      <w:numFmt w:val="decimal"/>
      <w:lvlText w:val="%1"/>
      <w:lvlJc w:val="left"/>
      <w:pPr>
        <w:tabs>
          <w:tab w:val="num" w:pos="360"/>
        </w:tabs>
        <w:ind w:left="360" w:hanging="360"/>
      </w:pPr>
      <w:rPr>
        <w:rFonts w:hint="default"/>
      </w:rPr>
    </w:lvl>
    <w:lvl w:ilvl="1">
      <w:start w:val="7"/>
      <w:numFmt w:val="decimal"/>
      <w:lvlText w:val="%1.%2"/>
      <w:lvlJc w:val="left"/>
      <w:pPr>
        <w:tabs>
          <w:tab w:val="num" w:pos="644"/>
        </w:tabs>
        <w:ind w:left="644" w:hanging="36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5">
    <w:nsid w:val="31985834"/>
    <w:multiLevelType w:val="hybridMultilevel"/>
    <w:tmpl w:val="145A16D8"/>
    <w:lvl w:ilvl="0" w:tplc="0407000F">
      <w:start w:val="1"/>
      <w:numFmt w:val="decimal"/>
      <w:lvlText w:val="%1."/>
      <w:lvlJc w:val="left"/>
      <w:pPr>
        <w:tabs>
          <w:tab w:val="num" w:pos="1080"/>
        </w:tabs>
        <w:ind w:left="1080" w:hanging="360"/>
      </w:p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6">
    <w:nsid w:val="3DDB442F"/>
    <w:multiLevelType w:val="multilevel"/>
    <w:tmpl w:val="0AD6FCDA"/>
    <w:lvl w:ilvl="0">
      <w:start w:val="4"/>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4F745E0B"/>
    <w:multiLevelType w:val="hybridMultilevel"/>
    <w:tmpl w:val="3724AAA4"/>
    <w:lvl w:ilvl="0" w:tplc="4C387342">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nsid w:val="5018014D"/>
    <w:multiLevelType w:val="hybridMultilevel"/>
    <w:tmpl w:val="14C64B1C"/>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nsid w:val="50B04904"/>
    <w:multiLevelType w:val="hybridMultilevel"/>
    <w:tmpl w:val="C9124B6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nsid w:val="5C2B38D7"/>
    <w:multiLevelType w:val="hybridMultilevel"/>
    <w:tmpl w:val="C012037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nsid w:val="5CA61107"/>
    <w:multiLevelType w:val="multilevel"/>
    <w:tmpl w:val="C666C658"/>
    <w:lvl w:ilvl="0">
      <w:start w:val="1"/>
      <w:numFmt w:val="decimal"/>
      <w:pStyle w:val="Formatvorlageberschrift1LateinArialKomplexArial"/>
      <w:lvlText w:val="%1"/>
      <w:lvlJc w:val="left"/>
      <w:pPr>
        <w:tabs>
          <w:tab w:val="num" w:pos="851"/>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2">
    <w:nsid w:val="5DA66F39"/>
    <w:multiLevelType w:val="multilevel"/>
    <w:tmpl w:val="0D0A941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78390825"/>
    <w:multiLevelType w:val="hybridMultilevel"/>
    <w:tmpl w:val="2E14FCA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 w:numId="2">
    <w:abstractNumId w:val="0"/>
  </w:num>
  <w:num w:numId="3">
    <w:abstractNumId w:val="12"/>
  </w:num>
  <w:num w:numId="4">
    <w:abstractNumId w:val="3"/>
  </w:num>
  <w:num w:numId="5">
    <w:abstractNumId w:val="2"/>
  </w:num>
  <w:num w:numId="6">
    <w:abstractNumId w:val="4"/>
  </w:num>
  <w:num w:numId="7">
    <w:abstractNumId w:val="6"/>
  </w:num>
  <w:num w:numId="8">
    <w:abstractNumId w:val="12"/>
  </w:num>
  <w:num w:numId="9">
    <w:abstractNumId w:val="12"/>
  </w:num>
  <w:num w:numId="10">
    <w:abstractNumId w:val="12"/>
  </w:num>
  <w:num w:numId="11">
    <w:abstractNumId w:val="1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9"/>
  </w:num>
  <w:num w:numId="26">
    <w:abstractNumId w:val="1"/>
  </w:num>
  <w:num w:numId="27">
    <w:abstractNumId w:val="5"/>
  </w:num>
  <w:num w:numId="28">
    <w:abstractNumId w:val="2"/>
  </w:num>
  <w:num w:numId="29">
    <w:abstractNumId w:val="13"/>
  </w:num>
  <w:num w:numId="30">
    <w:abstractNumId w:val="11"/>
  </w:num>
  <w:num w:numId="31">
    <w:abstractNumId w:val="7"/>
  </w:num>
  <w:num w:numId="32">
    <w:abstractNumId w:val="8"/>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proofState w:spelling="clean" w:grammar="clean"/>
  <w:attachedTemplate r:id="rId1"/>
  <w:defaultTabStop w:val="708"/>
  <w:autoHyphenation/>
  <w:hyphenationZone w:val="425"/>
  <w:doNotHyphenateCaps/>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07F"/>
    <w:rsid w:val="0072707F"/>
    <w:rsid w:val="008779CB"/>
    <w:rsid w:val="009970E3"/>
    <w:rsid w:val="00B65016"/>
    <w:rsid w:val="00BE0E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tabs>
        <w:tab w:val="left" w:pos="851"/>
      </w:tabs>
    </w:pPr>
    <w:rPr>
      <w:rFonts w:ascii="Arial" w:hAnsi="Arial" w:cs="Arial"/>
      <w:sz w:val="22"/>
      <w:szCs w:val="22"/>
    </w:rPr>
  </w:style>
  <w:style w:type="paragraph" w:styleId="berschrift1">
    <w:name w:val="heading 1"/>
    <w:basedOn w:val="Standard"/>
    <w:next w:val="Standard"/>
    <w:autoRedefine/>
    <w:qFormat/>
    <w:pPr>
      <w:keepNext/>
      <w:spacing w:before="240" w:after="60"/>
      <w:outlineLvl w:val="0"/>
    </w:pPr>
    <w:rPr>
      <w:smallCaps/>
      <w:kern w:val="32"/>
      <w:sz w:val="24"/>
      <w:szCs w:val="32"/>
      <w:u w:val="single"/>
    </w:rPr>
  </w:style>
  <w:style w:type="paragraph" w:styleId="berschrift2">
    <w:name w:val="heading 2"/>
    <w:basedOn w:val="Standard"/>
    <w:next w:val="Standard"/>
    <w:autoRedefine/>
    <w:qFormat/>
    <w:pPr>
      <w:keepNext/>
      <w:numPr>
        <w:ilvl w:val="1"/>
      </w:numPr>
      <w:tabs>
        <w:tab w:val="num" w:pos="851"/>
      </w:tabs>
      <w:ind w:left="851" w:hanging="851"/>
      <w:jc w:val="both"/>
      <w:outlineLvl w:val="1"/>
    </w:pPr>
    <w:rPr>
      <w:iCs/>
      <w:smallCaps/>
    </w:rPr>
  </w:style>
  <w:style w:type="paragraph" w:styleId="berschrift3">
    <w:name w:val="heading 3"/>
    <w:basedOn w:val="Standard"/>
    <w:next w:val="Standard"/>
    <w:qFormat/>
    <w:pPr>
      <w:keepNext/>
      <w:tabs>
        <w:tab w:val="num" w:pos="720"/>
      </w:tabs>
      <w:spacing w:before="240" w:after="60"/>
      <w:ind w:left="720" w:hanging="720"/>
      <w:outlineLvl w:val="2"/>
    </w:pPr>
    <w:rPr>
      <w:b/>
      <w:bCs/>
      <w:sz w:val="26"/>
      <w:szCs w:val="26"/>
    </w:rPr>
  </w:style>
  <w:style w:type="paragraph" w:styleId="berschrift4">
    <w:name w:val="heading 4"/>
    <w:basedOn w:val="Standard"/>
    <w:next w:val="Standard"/>
    <w:qFormat/>
    <w:pPr>
      <w:keepNext/>
      <w:tabs>
        <w:tab w:val="clear" w:pos="851"/>
        <w:tab w:val="num" w:pos="864"/>
      </w:tabs>
      <w:spacing w:before="240" w:after="60"/>
      <w:ind w:left="864" w:hanging="864"/>
      <w:outlineLvl w:val="3"/>
    </w:pPr>
    <w:rPr>
      <w:b/>
      <w:bCs/>
      <w:sz w:val="28"/>
      <w:szCs w:val="28"/>
    </w:rPr>
  </w:style>
  <w:style w:type="paragraph" w:styleId="berschrift5">
    <w:name w:val="heading 5"/>
    <w:basedOn w:val="Standard"/>
    <w:next w:val="Standard"/>
    <w:qFormat/>
    <w:pPr>
      <w:tabs>
        <w:tab w:val="num" w:pos="1008"/>
      </w:tabs>
      <w:spacing w:before="240" w:after="60"/>
      <w:ind w:left="1008" w:hanging="1008"/>
      <w:outlineLvl w:val="4"/>
    </w:pPr>
    <w:rPr>
      <w:b/>
      <w:bCs/>
      <w:i/>
      <w:iCs/>
      <w:sz w:val="26"/>
      <w:szCs w:val="26"/>
    </w:rPr>
  </w:style>
  <w:style w:type="paragraph" w:styleId="berschrift6">
    <w:name w:val="heading 6"/>
    <w:basedOn w:val="Standard"/>
    <w:next w:val="Standard"/>
    <w:qFormat/>
    <w:pPr>
      <w:tabs>
        <w:tab w:val="num" w:pos="1152"/>
      </w:tabs>
      <w:spacing w:before="240" w:after="60"/>
      <w:ind w:left="1152" w:hanging="1152"/>
      <w:outlineLvl w:val="5"/>
    </w:pPr>
    <w:rPr>
      <w:b/>
      <w:bCs/>
    </w:rPr>
  </w:style>
  <w:style w:type="paragraph" w:styleId="berschrift7">
    <w:name w:val="heading 7"/>
    <w:basedOn w:val="Standard"/>
    <w:next w:val="Standard"/>
    <w:qFormat/>
    <w:pPr>
      <w:tabs>
        <w:tab w:val="num" w:pos="1296"/>
      </w:tabs>
      <w:spacing w:before="240" w:after="60"/>
      <w:ind w:left="1296" w:hanging="1296"/>
      <w:outlineLvl w:val="6"/>
    </w:pPr>
    <w:rPr>
      <w:sz w:val="24"/>
      <w:szCs w:val="24"/>
    </w:rPr>
  </w:style>
  <w:style w:type="paragraph" w:styleId="berschrift8">
    <w:name w:val="heading 8"/>
    <w:basedOn w:val="Standard"/>
    <w:next w:val="Standard"/>
    <w:qFormat/>
    <w:pPr>
      <w:tabs>
        <w:tab w:val="num" w:pos="1440"/>
      </w:tabs>
      <w:spacing w:before="240" w:after="60"/>
      <w:ind w:left="1440" w:hanging="1440"/>
      <w:outlineLvl w:val="7"/>
    </w:pPr>
    <w:rPr>
      <w:i/>
      <w:iCs/>
      <w:sz w:val="24"/>
      <w:szCs w:val="24"/>
    </w:rPr>
  </w:style>
  <w:style w:type="paragraph" w:styleId="berschrift9">
    <w:name w:val="heading 9"/>
    <w:basedOn w:val="Standard"/>
    <w:next w:val="Standard"/>
    <w:qFormat/>
    <w:pPr>
      <w:tabs>
        <w:tab w:val="num" w:pos="1584"/>
      </w:tabs>
      <w:spacing w:before="240" w:after="60"/>
      <w:ind w:left="1584" w:hanging="1584"/>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customStyle="1" w:styleId="Vorgabetext">
    <w:name w:val="Vorgabetext"/>
    <w:basedOn w:val="Standard"/>
    <w:rPr>
      <w:sz w:val="24"/>
      <w:szCs w:val="24"/>
    </w:rPr>
  </w:style>
  <w:style w:type="paragraph" w:styleId="Textkrper2">
    <w:name w:val="Body Text 2"/>
    <w:basedOn w:val="Standard"/>
    <w:semiHidden/>
    <w:pPr>
      <w:tabs>
        <w:tab w:val="clear" w:pos="851"/>
        <w:tab w:val="left" w:pos="1485"/>
      </w:tabs>
      <w:overflowPunct w:val="0"/>
      <w:autoSpaceDE w:val="0"/>
      <w:autoSpaceDN w:val="0"/>
      <w:adjustRightInd w:val="0"/>
      <w:textAlignment w:val="baseline"/>
    </w:pPr>
    <w:rPr>
      <w:rFonts w:ascii="Arial,Bold" w:hAnsi="Arial,Bold"/>
      <w:szCs w:val="24"/>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styleId="Textkrper-Zeileneinzug">
    <w:name w:val="Body Text Indent"/>
    <w:basedOn w:val="Standard"/>
    <w:semiHidden/>
    <w:pPr>
      <w:ind w:left="1"/>
    </w:pPr>
    <w:rPr>
      <w:rFonts w:ascii="Frutiger 45 Light" w:hAnsi="Frutiger 45 Light" w:cs="Times New Roman"/>
      <w:sz w:val="24"/>
      <w:szCs w:val="24"/>
    </w:rPr>
  </w:style>
  <w:style w:type="paragraph" w:customStyle="1" w:styleId="Formatvorlageberschrift1LateinArialKomplexArial">
    <w:name w:val="Formatvorlage Überschrift 1 + (Latein) Arial (Komplex) Arial"/>
    <w:basedOn w:val="berschrift1"/>
    <w:autoRedefine/>
    <w:pPr>
      <w:keepNext w:val="0"/>
      <w:widowControl w:val="0"/>
      <w:numPr>
        <w:numId w:val="30"/>
      </w:numPr>
      <w:spacing w:before="0" w:after="0"/>
    </w:pPr>
    <w:rPr>
      <w:b/>
      <w:bCs/>
      <w:smallCaps w:val="0"/>
      <w:kern w:val="0"/>
      <w:sz w:val="22"/>
      <w:szCs w:val="22"/>
    </w:rPr>
  </w:style>
  <w:style w:type="paragraph" w:customStyle="1" w:styleId="Standardfett">
    <w:name w:val="Standard_fett"/>
    <w:basedOn w:val="Standard"/>
    <w:autoRedefine/>
    <w:rPr>
      <w:b/>
      <w:bCs/>
    </w:rPr>
  </w:style>
  <w:style w:type="paragraph" w:customStyle="1" w:styleId="Ueberschr">
    <w:name w:val="Ueberschr"/>
    <w:basedOn w:val="Standard"/>
    <w:pPr>
      <w:keepNext/>
      <w:tabs>
        <w:tab w:val="clear" w:pos="851"/>
        <w:tab w:val="left" w:pos="1418"/>
      </w:tabs>
      <w:overflowPunct w:val="0"/>
      <w:autoSpaceDE w:val="0"/>
      <w:autoSpaceDN w:val="0"/>
      <w:adjustRightInd w:val="0"/>
      <w:spacing w:after="200"/>
      <w:ind w:left="1418" w:right="284" w:hanging="1134"/>
      <w:jc w:val="both"/>
      <w:textAlignment w:val="baseline"/>
    </w:pPr>
    <w:rPr>
      <w:rFonts w:ascii="Helvetica" w:hAnsi="Helvetica" w:cs="Helvetica"/>
      <w:b/>
      <w:bCs/>
      <w:sz w:val="20"/>
      <w:szCs w:val="20"/>
    </w:rPr>
  </w:style>
  <w:style w:type="character" w:styleId="Kommentarzeichen">
    <w:name w:val="annotation reference"/>
    <w:semiHidden/>
    <w:rPr>
      <w:sz w:val="16"/>
      <w:szCs w:val="16"/>
    </w:rPr>
  </w:style>
  <w:style w:type="paragraph" w:styleId="Kommentartext">
    <w:name w:val="annotation text"/>
    <w:basedOn w:val="Standard"/>
    <w:semiHidden/>
    <w:rPr>
      <w:sz w:val="20"/>
      <w:szCs w:val="20"/>
    </w:rPr>
  </w:style>
  <w:style w:type="paragraph" w:styleId="Kommentarthema">
    <w:name w:val="annotation subject"/>
    <w:basedOn w:val="Kommentartext"/>
    <w:next w:val="Kommentartext"/>
    <w:semiHidden/>
    <w:rPr>
      <w:b/>
      <w:bCs/>
    </w:rPr>
  </w:style>
  <w:style w:type="paragraph" w:styleId="Textkrper">
    <w:name w:val="Body Text"/>
    <w:basedOn w:val="Standard"/>
    <w:semiHidden/>
    <w:pPr>
      <w:tabs>
        <w:tab w:val="clear" w:pos="851"/>
      </w:tabs>
      <w:overflowPunct w:val="0"/>
      <w:autoSpaceDE w:val="0"/>
      <w:autoSpaceDN w:val="0"/>
      <w:adjustRightInd w:val="0"/>
    </w:pPr>
    <w:rPr>
      <w:sz w:val="24"/>
      <w:szCs w:val="20"/>
    </w:rPr>
  </w:style>
  <w:style w:type="paragraph" w:styleId="Textkrper3">
    <w:name w:val="Body Text 3"/>
    <w:basedOn w:val="Standard"/>
    <w:semiHidden/>
    <w:pPr>
      <w:overflowPunct w:val="0"/>
      <w:autoSpaceDE w:val="0"/>
      <w:autoSpaceDN w:val="0"/>
      <w:adjustRightInd w:val="0"/>
    </w:pPr>
    <w:rPr>
      <w:sz w:val="20"/>
    </w:rPr>
  </w:style>
  <w:style w:type="table" w:styleId="Tabellenraster">
    <w:name w:val="Table Grid"/>
    <w:basedOn w:val="NormaleTabelle"/>
    <w:uiPriority w:val="59"/>
    <w:rsid w:val="009970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tabs>
        <w:tab w:val="left" w:pos="851"/>
      </w:tabs>
    </w:pPr>
    <w:rPr>
      <w:rFonts w:ascii="Arial" w:hAnsi="Arial" w:cs="Arial"/>
      <w:sz w:val="22"/>
      <w:szCs w:val="22"/>
    </w:rPr>
  </w:style>
  <w:style w:type="paragraph" w:styleId="berschrift1">
    <w:name w:val="heading 1"/>
    <w:basedOn w:val="Standard"/>
    <w:next w:val="Standard"/>
    <w:autoRedefine/>
    <w:qFormat/>
    <w:pPr>
      <w:keepNext/>
      <w:spacing w:before="240" w:after="60"/>
      <w:outlineLvl w:val="0"/>
    </w:pPr>
    <w:rPr>
      <w:smallCaps/>
      <w:kern w:val="32"/>
      <w:sz w:val="24"/>
      <w:szCs w:val="32"/>
      <w:u w:val="single"/>
    </w:rPr>
  </w:style>
  <w:style w:type="paragraph" w:styleId="berschrift2">
    <w:name w:val="heading 2"/>
    <w:basedOn w:val="Standard"/>
    <w:next w:val="Standard"/>
    <w:autoRedefine/>
    <w:qFormat/>
    <w:pPr>
      <w:keepNext/>
      <w:numPr>
        <w:ilvl w:val="1"/>
      </w:numPr>
      <w:tabs>
        <w:tab w:val="num" w:pos="851"/>
      </w:tabs>
      <w:ind w:left="851" w:hanging="851"/>
      <w:jc w:val="both"/>
      <w:outlineLvl w:val="1"/>
    </w:pPr>
    <w:rPr>
      <w:iCs/>
      <w:smallCaps/>
    </w:rPr>
  </w:style>
  <w:style w:type="paragraph" w:styleId="berschrift3">
    <w:name w:val="heading 3"/>
    <w:basedOn w:val="Standard"/>
    <w:next w:val="Standard"/>
    <w:qFormat/>
    <w:pPr>
      <w:keepNext/>
      <w:tabs>
        <w:tab w:val="num" w:pos="720"/>
      </w:tabs>
      <w:spacing w:before="240" w:after="60"/>
      <w:ind w:left="720" w:hanging="720"/>
      <w:outlineLvl w:val="2"/>
    </w:pPr>
    <w:rPr>
      <w:b/>
      <w:bCs/>
      <w:sz w:val="26"/>
      <w:szCs w:val="26"/>
    </w:rPr>
  </w:style>
  <w:style w:type="paragraph" w:styleId="berschrift4">
    <w:name w:val="heading 4"/>
    <w:basedOn w:val="Standard"/>
    <w:next w:val="Standard"/>
    <w:qFormat/>
    <w:pPr>
      <w:keepNext/>
      <w:tabs>
        <w:tab w:val="clear" w:pos="851"/>
        <w:tab w:val="num" w:pos="864"/>
      </w:tabs>
      <w:spacing w:before="240" w:after="60"/>
      <w:ind w:left="864" w:hanging="864"/>
      <w:outlineLvl w:val="3"/>
    </w:pPr>
    <w:rPr>
      <w:b/>
      <w:bCs/>
      <w:sz w:val="28"/>
      <w:szCs w:val="28"/>
    </w:rPr>
  </w:style>
  <w:style w:type="paragraph" w:styleId="berschrift5">
    <w:name w:val="heading 5"/>
    <w:basedOn w:val="Standard"/>
    <w:next w:val="Standard"/>
    <w:qFormat/>
    <w:pPr>
      <w:tabs>
        <w:tab w:val="num" w:pos="1008"/>
      </w:tabs>
      <w:spacing w:before="240" w:after="60"/>
      <w:ind w:left="1008" w:hanging="1008"/>
      <w:outlineLvl w:val="4"/>
    </w:pPr>
    <w:rPr>
      <w:b/>
      <w:bCs/>
      <w:i/>
      <w:iCs/>
      <w:sz w:val="26"/>
      <w:szCs w:val="26"/>
    </w:rPr>
  </w:style>
  <w:style w:type="paragraph" w:styleId="berschrift6">
    <w:name w:val="heading 6"/>
    <w:basedOn w:val="Standard"/>
    <w:next w:val="Standard"/>
    <w:qFormat/>
    <w:pPr>
      <w:tabs>
        <w:tab w:val="num" w:pos="1152"/>
      </w:tabs>
      <w:spacing w:before="240" w:after="60"/>
      <w:ind w:left="1152" w:hanging="1152"/>
      <w:outlineLvl w:val="5"/>
    </w:pPr>
    <w:rPr>
      <w:b/>
      <w:bCs/>
    </w:rPr>
  </w:style>
  <w:style w:type="paragraph" w:styleId="berschrift7">
    <w:name w:val="heading 7"/>
    <w:basedOn w:val="Standard"/>
    <w:next w:val="Standard"/>
    <w:qFormat/>
    <w:pPr>
      <w:tabs>
        <w:tab w:val="num" w:pos="1296"/>
      </w:tabs>
      <w:spacing w:before="240" w:after="60"/>
      <w:ind w:left="1296" w:hanging="1296"/>
      <w:outlineLvl w:val="6"/>
    </w:pPr>
    <w:rPr>
      <w:sz w:val="24"/>
      <w:szCs w:val="24"/>
    </w:rPr>
  </w:style>
  <w:style w:type="paragraph" w:styleId="berschrift8">
    <w:name w:val="heading 8"/>
    <w:basedOn w:val="Standard"/>
    <w:next w:val="Standard"/>
    <w:qFormat/>
    <w:pPr>
      <w:tabs>
        <w:tab w:val="num" w:pos="1440"/>
      </w:tabs>
      <w:spacing w:before="240" w:after="60"/>
      <w:ind w:left="1440" w:hanging="1440"/>
      <w:outlineLvl w:val="7"/>
    </w:pPr>
    <w:rPr>
      <w:i/>
      <w:iCs/>
      <w:sz w:val="24"/>
      <w:szCs w:val="24"/>
    </w:rPr>
  </w:style>
  <w:style w:type="paragraph" w:styleId="berschrift9">
    <w:name w:val="heading 9"/>
    <w:basedOn w:val="Standard"/>
    <w:next w:val="Standard"/>
    <w:qFormat/>
    <w:pPr>
      <w:tabs>
        <w:tab w:val="num" w:pos="1584"/>
      </w:tabs>
      <w:spacing w:before="240" w:after="60"/>
      <w:ind w:left="1584" w:hanging="1584"/>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customStyle="1" w:styleId="Vorgabetext">
    <w:name w:val="Vorgabetext"/>
    <w:basedOn w:val="Standard"/>
    <w:rPr>
      <w:sz w:val="24"/>
      <w:szCs w:val="24"/>
    </w:rPr>
  </w:style>
  <w:style w:type="paragraph" w:styleId="Textkrper2">
    <w:name w:val="Body Text 2"/>
    <w:basedOn w:val="Standard"/>
    <w:semiHidden/>
    <w:pPr>
      <w:tabs>
        <w:tab w:val="clear" w:pos="851"/>
        <w:tab w:val="left" w:pos="1485"/>
      </w:tabs>
      <w:overflowPunct w:val="0"/>
      <w:autoSpaceDE w:val="0"/>
      <w:autoSpaceDN w:val="0"/>
      <w:adjustRightInd w:val="0"/>
      <w:textAlignment w:val="baseline"/>
    </w:pPr>
    <w:rPr>
      <w:rFonts w:ascii="Arial,Bold" w:hAnsi="Arial,Bold"/>
      <w:szCs w:val="24"/>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styleId="Textkrper-Zeileneinzug">
    <w:name w:val="Body Text Indent"/>
    <w:basedOn w:val="Standard"/>
    <w:semiHidden/>
    <w:pPr>
      <w:ind w:left="1"/>
    </w:pPr>
    <w:rPr>
      <w:rFonts w:ascii="Frutiger 45 Light" w:hAnsi="Frutiger 45 Light" w:cs="Times New Roman"/>
      <w:sz w:val="24"/>
      <w:szCs w:val="24"/>
    </w:rPr>
  </w:style>
  <w:style w:type="paragraph" w:customStyle="1" w:styleId="Formatvorlageberschrift1LateinArialKomplexArial">
    <w:name w:val="Formatvorlage Überschrift 1 + (Latein) Arial (Komplex) Arial"/>
    <w:basedOn w:val="berschrift1"/>
    <w:autoRedefine/>
    <w:pPr>
      <w:keepNext w:val="0"/>
      <w:widowControl w:val="0"/>
      <w:numPr>
        <w:numId w:val="30"/>
      </w:numPr>
      <w:spacing w:before="0" w:after="0"/>
    </w:pPr>
    <w:rPr>
      <w:b/>
      <w:bCs/>
      <w:smallCaps w:val="0"/>
      <w:kern w:val="0"/>
      <w:sz w:val="22"/>
      <w:szCs w:val="22"/>
    </w:rPr>
  </w:style>
  <w:style w:type="paragraph" w:customStyle="1" w:styleId="Standardfett">
    <w:name w:val="Standard_fett"/>
    <w:basedOn w:val="Standard"/>
    <w:autoRedefine/>
    <w:rPr>
      <w:b/>
      <w:bCs/>
    </w:rPr>
  </w:style>
  <w:style w:type="paragraph" w:customStyle="1" w:styleId="Ueberschr">
    <w:name w:val="Ueberschr"/>
    <w:basedOn w:val="Standard"/>
    <w:pPr>
      <w:keepNext/>
      <w:tabs>
        <w:tab w:val="clear" w:pos="851"/>
        <w:tab w:val="left" w:pos="1418"/>
      </w:tabs>
      <w:overflowPunct w:val="0"/>
      <w:autoSpaceDE w:val="0"/>
      <w:autoSpaceDN w:val="0"/>
      <w:adjustRightInd w:val="0"/>
      <w:spacing w:after="200"/>
      <w:ind w:left="1418" w:right="284" w:hanging="1134"/>
      <w:jc w:val="both"/>
      <w:textAlignment w:val="baseline"/>
    </w:pPr>
    <w:rPr>
      <w:rFonts w:ascii="Helvetica" w:hAnsi="Helvetica" w:cs="Helvetica"/>
      <w:b/>
      <w:bCs/>
      <w:sz w:val="20"/>
      <w:szCs w:val="20"/>
    </w:rPr>
  </w:style>
  <w:style w:type="character" w:styleId="Kommentarzeichen">
    <w:name w:val="annotation reference"/>
    <w:semiHidden/>
    <w:rPr>
      <w:sz w:val="16"/>
      <w:szCs w:val="16"/>
    </w:rPr>
  </w:style>
  <w:style w:type="paragraph" w:styleId="Kommentartext">
    <w:name w:val="annotation text"/>
    <w:basedOn w:val="Standard"/>
    <w:semiHidden/>
    <w:rPr>
      <w:sz w:val="20"/>
      <w:szCs w:val="20"/>
    </w:rPr>
  </w:style>
  <w:style w:type="paragraph" w:styleId="Kommentarthema">
    <w:name w:val="annotation subject"/>
    <w:basedOn w:val="Kommentartext"/>
    <w:next w:val="Kommentartext"/>
    <w:semiHidden/>
    <w:rPr>
      <w:b/>
      <w:bCs/>
    </w:rPr>
  </w:style>
  <w:style w:type="paragraph" w:styleId="Textkrper">
    <w:name w:val="Body Text"/>
    <w:basedOn w:val="Standard"/>
    <w:semiHidden/>
    <w:pPr>
      <w:tabs>
        <w:tab w:val="clear" w:pos="851"/>
      </w:tabs>
      <w:overflowPunct w:val="0"/>
      <w:autoSpaceDE w:val="0"/>
      <w:autoSpaceDN w:val="0"/>
      <w:adjustRightInd w:val="0"/>
    </w:pPr>
    <w:rPr>
      <w:sz w:val="24"/>
      <w:szCs w:val="20"/>
    </w:rPr>
  </w:style>
  <w:style w:type="paragraph" w:styleId="Textkrper3">
    <w:name w:val="Body Text 3"/>
    <w:basedOn w:val="Standard"/>
    <w:semiHidden/>
    <w:pPr>
      <w:overflowPunct w:val="0"/>
      <w:autoSpaceDE w:val="0"/>
      <w:autoSpaceDN w:val="0"/>
      <w:adjustRightInd w:val="0"/>
    </w:pPr>
    <w:rPr>
      <w:sz w:val="20"/>
    </w:rPr>
  </w:style>
  <w:style w:type="table" w:styleId="Tabellenraster">
    <w:name w:val="Table Grid"/>
    <w:basedOn w:val="NormaleTabelle"/>
    <w:uiPriority w:val="59"/>
    <w:rsid w:val="009970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Qualit&#228;tsmanagement\QM%20Schulung%20SIN\QM-Dokumentenvorlagen%20blanco\Dokumentenvorlage-MXX-hoch.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Dokumentenvorlage-MXX-hoch.dot</Template>
  <TotalTime>0</TotalTime>
  <Pages>1</Pages>
  <Words>509</Words>
  <Characters>3208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ZIEL</vt:lpstr>
    </vt:vector>
  </TitlesOfParts>
  <Company>siraTec</Company>
  <LinksUpToDate>false</LinksUpToDate>
  <CharactersWithSpaces>3710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ZIEL</dc:title>
  <dc:creator>TS7</dc:creator>
  <cp:lastModifiedBy>Goebel, Katrin-Annette</cp:lastModifiedBy>
  <cp:revision>2</cp:revision>
  <cp:lastPrinted>2007-07-31T06:01:00Z</cp:lastPrinted>
  <dcterms:created xsi:type="dcterms:W3CDTF">2020-07-30T06:22:00Z</dcterms:created>
  <dcterms:modified xsi:type="dcterms:W3CDTF">2020-07-30T06:22:00Z</dcterms:modified>
</cp:coreProperties>
</file>